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74DCB6" w14:textId="6C3A590C" w:rsidR="00861712" w:rsidRPr="00A55E30" w:rsidRDefault="00861712" w:rsidP="009608C1">
      <w:pPr>
        <w:spacing w:after="450" w:line="480" w:lineRule="auto"/>
        <w:ind w:right="991"/>
        <w:jc w:val="both"/>
        <w:rPr>
          <w:rFonts w:ascii="Times New Roman" w:eastAsia="Times New Roman" w:hAnsi="Times New Roman" w:cs="Times New Roman"/>
          <w:b/>
          <w:color w:val="0F0F0F"/>
          <w:lang w:eastAsia="it-IT"/>
        </w:rPr>
      </w:pPr>
      <w:r w:rsidRPr="00A55E30">
        <w:rPr>
          <w:rFonts w:ascii="Times New Roman" w:eastAsia="Times New Roman" w:hAnsi="Times New Roman" w:cs="Times New Roman"/>
          <w:b/>
          <w:color w:val="0F0F0F"/>
          <w:lang w:eastAsia="it-IT"/>
        </w:rPr>
        <w:t>Un</w:t>
      </w:r>
      <w:r w:rsidR="007F4DF2">
        <w:rPr>
          <w:rFonts w:ascii="Times New Roman" w:eastAsia="Times New Roman" w:hAnsi="Times New Roman" w:cs="Times New Roman"/>
          <w:b/>
          <w:color w:val="0F0F0F"/>
          <w:lang w:eastAsia="it-IT"/>
        </w:rPr>
        <w:t>a</w:t>
      </w:r>
      <w:r w:rsidRPr="00A55E30">
        <w:rPr>
          <w:rFonts w:ascii="Times New Roman" w:eastAsia="Times New Roman" w:hAnsi="Times New Roman" w:cs="Times New Roman"/>
          <w:b/>
          <w:color w:val="0F0F0F"/>
          <w:lang w:eastAsia="it-IT"/>
        </w:rPr>
        <w:t xml:space="preserve"> riforma continua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6419"/>
      </w:tblGrid>
      <w:tr w:rsidR="00861712" w:rsidRPr="00A55E30" w14:paraId="489AA41D" w14:textId="77777777" w:rsidTr="00DB3D05">
        <w:trPr>
          <w:trHeight w:val="1514"/>
        </w:trPr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42D86" w14:textId="77777777" w:rsidR="00861712" w:rsidRPr="00A55E30" w:rsidRDefault="00861712" w:rsidP="009608C1">
            <w:pPr>
              <w:spacing w:after="450" w:line="480" w:lineRule="auto"/>
              <w:ind w:right="991"/>
              <w:jc w:val="both"/>
              <w:rPr>
                <w:rFonts w:ascii="Times New Roman" w:eastAsia="Times New Roman" w:hAnsi="Times New Roman" w:cs="Times New Roman"/>
                <w:b/>
                <w:i/>
                <w:color w:val="0F0F0F"/>
                <w:lang w:eastAsia="it-IT"/>
              </w:rPr>
            </w:pPr>
          </w:p>
          <w:p w14:paraId="27934DD1" w14:textId="77777777" w:rsidR="00861712" w:rsidRPr="00A55E30" w:rsidRDefault="00861712" w:rsidP="009608C1">
            <w:pPr>
              <w:spacing w:after="450" w:line="480" w:lineRule="auto"/>
              <w:ind w:right="991"/>
              <w:jc w:val="both"/>
              <w:rPr>
                <w:rFonts w:ascii="Times New Roman" w:eastAsia="Times New Roman" w:hAnsi="Times New Roman" w:cs="Times New Roman"/>
                <w:b/>
                <w:i/>
                <w:color w:val="0F0F0F"/>
                <w:lang w:eastAsia="it-IT"/>
              </w:rPr>
            </w:pPr>
            <w:r w:rsidRPr="00A55E30">
              <w:rPr>
                <w:rFonts w:ascii="Times New Roman" w:eastAsia="Times New Roman" w:hAnsi="Times New Roman" w:cs="Times New Roman"/>
                <w:b/>
                <w:i/>
                <w:color w:val="0F0F0F"/>
                <w:lang w:eastAsia="it-IT"/>
              </w:rPr>
              <w:t>Età di vecchiaia</w:t>
            </w:r>
          </w:p>
        </w:tc>
        <w:tc>
          <w:tcPr>
            <w:tcW w:w="6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D0020" w14:textId="77777777" w:rsidR="00861712" w:rsidRPr="00A55E30" w:rsidRDefault="00861712" w:rsidP="009608C1">
            <w:pPr>
              <w:spacing w:after="450" w:line="480" w:lineRule="auto"/>
              <w:ind w:right="991"/>
              <w:jc w:val="both"/>
              <w:rPr>
                <w:rFonts w:ascii="Times New Roman" w:eastAsia="Times New Roman" w:hAnsi="Times New Roman" w:cs="Times New Roman"/>
                <w:color w:val="0F0F0F"/>
                <w:lang w:eastAsia="it-IT"/>
              </w:rPr>
            </w:pPr>
            <w:r w:rsidRPr="00A55E30">
              <w:rPr>
                <w:rFonts w:ascii="Times New Roman" w:eastAsia="Times New Roman" w:hAnsi="Times New Roman" w:cs="Times New Roman"/>
                <w:color w:val="0F0F0F"/>
                <w:lang w:eastAsia="it-IT"/>
              </w:rPr>
              <w:t xml:space="preserve">L’età di </w:t>
            </w:r>
            <w:proofErr w:type="gramStart"/>
            <w:r w:rsidRPr="00A55E30">
              <w:rPr>
                <w:rFonts w:ascii="Times New Roman" w:eastAsia="Times New Roman" w:hAnsi="Times New Roman" w:cs="Times New Roman"/>
                <w:color w:val="0F0F0F"/>
                <w:lang w:eastAsia="it-IT"/>
              </w:rPr>
              <w:t>67</w:t>
            </w:r>
            <w:proofErr w:type="gramEnd"/>
            <w:r w:rsidRPr="00A55E30">
              <w:rPr>
                <w:rFonts w:ascii="Times New Roman" w:eastAsia="Times New Roman" w:hAnsi="Times New Roman" w:cs="Times New Roman"/>
                <w:color w:val="0F0F0F"/>
                <w:lang w:eastAsia="it-IT"/>
              </w:rPr>
              <w:t xml:space="preserve"> anni valida da quest’anno resterà tale fino alla fine del 2022. Il limite anagrafico è stato confermato con un </w:t>
            </w:r>
            <w:r w:rsidRPr="00A55E30">
              <w:rPr>
                <w:rFonts w:ascii="Times New Roman" w:eastAsia="Times New Roman" w:hAnsi="Times New Roman" w:cs="Times New Roman"/>
                <w:bCs/>
                <w:color w:val="0F0F0F"/>
                <w:lang w:eastAsia="it-IT"/>
              </w:rPr>
              <w:t>decreto ministeriale del 5 novembre (</w:t>
            </w:r>
            <w:r w:rsidRPr="00A55E30">
              <w:rPr>
                <w:rFonts w:ascii="Times New Roman" w:eastAsia="Times New Roman" w:hAnsi="Times New Roman" w:cs="Times New Roman"/>
                <w:color w:val="0F0F0F"/>
                <w:lang w:eastAsia="it-IT"/>
              </w:rPr>
              <w:t>pubblicato sulla Gazzetta ufficiale del giorno 14) sulla base della speranza di vita accertata a consuntivo dall’Istat per l’intero biennio 2017-2018: una variazione risultata inferiore a un mese.  L’adeguamento</w:t>
            </w:r>
            <w:proofErr w:type="gramStart"/>
            <w:r w:rsidRPr="00A55E30">
              <w:rPr>
                <w:rFonts w:ascii="Times New Roman" w:eastAsia="Times New Roman" w:hAnsi="Times New Roman" w:cs="Times New Roman"/>
                <w:color w:val="0F0F0F"/>
                <w:lang w:eastAsia="it-IT"/>
              </w:rPr>
              <w:t xml:space="preserve">  </w:t>
            </w:r>
            <w:proofErr w:type="gramEnd"/>
            <w:r w:rsidRPr="00A55E30">
              <w:rPr>
                <w:rFonts w:ascii="Times New Roman" w:eastAsia="Times New Roman" w:hAnsi="Times New Roman" w:cs="Times New Roman"/>
                <w:color w:val="0F0F0F"/>
                <w:lang w:eastAsia="it-IT"/>
              </w:rPr>
              <w:t xml:space="preserve">varrà per il biennio 2021-2022. </w:t>
            </w:r>
            <w:r w:rsidRPr="00A55E30">
              <w:rPr>
                <w:rFonts w:ascii="Times New Roman" w:eastAsia="Times New Roman" w:hAnsi="Times New Roman" w:cs="Times New Roman"/>
                <w:bCs/>
                <w:color w:val="0F0F0F"/>
                <w:lang w:eastAsia="it-IT"/>
              </w:rPr>
              <w:t xml:space="preserve">Nel biennio 2023-2024 il requisito potrebbe aumentare di </w:t>
            </w:r>
            <w:proofErr w:type="gramStart"/>
            <w:r w:rsidRPr="00A55E30">
              <w:rPr>
                <w:rFonts w:ascii="Times New Roman" w:eastAsia="Times New Roman" w:hAnsi="Times New Roman" w:cs="Times New Roman"/>
                <w:bCs/>
                <w:color w:val="0F0F0F"/>
                <w:lang w:eastAsia="it-IT"/>
              </w:rPr>
              <w:t>3</w:t>
            </w:r>
            <w:proofErr w:type="gramEnd"/>
            <w:r w:rsidRPr="00A55E30">
              <w:rPr>
                <w:rFonts w:ascii="Times New Roman" w:eastAsia="Times New Roman" w:hAnsi="Times New Roman" w:cs="Times New Roman"/>
                <w:bCs/>
                <w:color w:val="0F0F0F"/>
                <w:lang w:eastAsia="it-IT"/>
              </w:rPr>
              <w:t xml:space="preserve"> mesi</w:t>
            </w:r>
            <w:r w:rsidRPr="00A55E30">
              <w:rPr>
                <w:rFonts w:ascii="Times New Roman" w:eastAsia="Times New Roman" w:hAnsi="Times New Roman" w:cs="Times New Roman"/>
                <w:color w:val="0F0F0F"/>
                <w:lang w:eastAsia="it-IT"/>
              </w:rPr>
              <w:t>, stando ai requisiti stimati a titolo esemplificativo dalla Ragioneria generale dello Stato nel Rapporto sulla spesa pensionistica pubblicato lo scorso settembre.</w:t>
            </w:r>
          </w:p>
        </w:tc>
      </w:tr>
      <w:tr w:rsidR="00861712" w:rsidRPr="00A55E30" w14:paraId="3A3C0114" w14:textId="77777777" w:rsidTr="00DB3D05"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6DA3A" w14:textId="77777777" w:rsidR="00861712" w:rsidRPr="00A55E30" w:rsidRDefault="00861712" w:rsidP="009608C1">
            <w:pPr>
              <w:spacing w:after="450" w:line="480" w:lineRule="auto"/>
              <w:ind w:right="991"/>
              <w:jc w:val="both"/>
              <w:rPr>
                <w:rFonts w:ascii="Times New Roman" w:eastAsia="Times New Roman" w:hAnsi="Times New Roman" w:cs="Times New Roman"/>
                <w:b/>
                <w:i/>
                <w:color w:val="0F0F0F"/>
                <w:lang w:eastAsia="it-IT"/>
              </w:rPr>
            </w:pPr>
          </w:p>
          <w:p w14:paraId="093EE047" w14:textId="77777777" w:rsidR="00861712" w:rsidRPr="00A55E30" w:rsidRDefault="00861712" w:rsidP="009608C1">
            <w:pPr>
              <w:spacing w:after="450" w:line="480" w:lineRule="auto"/>
              <w:ind w:right="991"/>
              <w:jc w:val="both"/>
              <w:rPr>
                <w:rFonts w:ascii="Times New Roman" w:eastAsia="Times New Roman" w:hAnsi="Times New Roman" w:cs="Times New Roman"/>
                <w:b/>
                <w:i/>
                <w:color w:val="0F0F0F"/>
                <w:lang w:eastAsia="it-IT"/>
              </w:rPr>
            </w:pPr>
            <w:proofErr w:type="gramStart"/>
            <w:r w:rsidRPr="00A55E30">
              <w:rPr>
                <w:rFonts w:ascii="Times New Roman" w:eastAsia="Times New Roman" w:hAnsi="Times New Roman" w:cs="Times New Roman"/>
                <w:b/>
                <w:i/>
                <w:color w:val="0F0F0F"/>
                <w:lang w:eastAsia="it-IT"/>
              </w:rPr>
              <w:t>Opzione</w:t>
            </w:r>
            <w:proofErr w:type="gramEnd"/>
            <w:r w:rsidRPr="00A55E30">
              <w:rPr>
                <w:rFonts w:ascii="Times New Roman" w:eastAsia="Times New Roman" w:hAnsi="Times New Roman" w:cs="Times New Roman"/>
                <w:b/>
                <w:i/>
                <w:color w:val="0F0F0F"/>
                <w:lang w:eastAsia="it-IT"/>
              </w:rPr>
              <w:t xml:space="preserve"> donna</w:t>
            </w:r>
          </w:p>
        </w:tc>
        <w:tc>
          <w:tcPr>
            <w:tcW w:w="6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ECB59" w14:textId="77777777" w:rsidR="00861712" w:rsidRPr="00A55E30" w:rsidRDefault="00861712" w:rsidP="009608C1">
            <w:pPr>
              <w:spacing w:after="450" w:line="480" w:lineRule="auto"/>
              <w:ind w:right="991"/>
              <w:jc w:val="both"/>
              <w:rPr>
                <w:rFonts w:ascii="Times New Roman" w:eastAsia="Times New Roman" w:hAnsi="Times New Roman" w:cs="Times New Roman"/>
                <w:color w:val="0F0F0F"/>
                <w:lang w:eastAsia="it-IT"/>
              </w:rPr>
            </w:pPr>
            <w:r w:rsidRPr="00A55E30">
              <w:rPr>
                <w:rFonts w:ascii="Times New Roman" w:eastAsia="Times New Roman" w:hAnsi="Times New Roman" w:cs="Times New Roman"/>
                <w:color w:val="0F0F0F"/>
                <w:lang w:eastAsia="it-IT"/>
              </w:rPr>
              <w:t>Proroga per un anno dell’</w:t>
            </w:r>
            <w:proofErr w:type="gramStart"/>
            <w:r w:rsidRPr="00A55E30">
              <w:rPr>
                <w:rFonts w:ascii="Times New Roman" w:eastAsia="Times New Roman" w:hAnsi="Times New Roman" w:cs="Times New Roman"/>
                <w:color w:val="0F0F0F"/>
                <w:lang w:eastAsia="it-IT"/>
              </w:rPr>
              <w:t>opzione</w:t>
            </w:r>
            <w:proofErr w:type="gramEnd"/>
            <w:r w:rsidRPr="00A55E30">
              <w:rPr>
                <w:rFonts w:ascii="Times New Roman" w:eastAsia="Times New Roman" w:hAnsi="Times New Roman" w:cs="Times New Roman"/>
                <w:color w:val="0F0F0F"/>
                <w:lang w:eastAsia="it-IT"/>
              </w:rPr>
              <w:t xml:space="preserve"> donna. L’uscita anticipata sarà consentita alle donne dipendenti con almeno </w:t>
            </w:r>
            <w:proofErr w:type="gramStart"/>
            <w:r w:rsidRPr="00A55E30">
              <w:rPr>
                <w:rFonts w:ascii="Times New Roman" w:eastAsia="Times New Roman" w:hAnsi="Times New Roman" w:cs="Times New Roman"/>
                <w:color w:val="0F0F0F"/>
                <w:lang w:eastAsia="it-IT"/>
              </w:rPr>
              <w:t>59</w:t>
            </w:r>
            <w:proofErr w:type="gramEnd"/>
            <w:r w:rsidRPr="00A55E30">
              <w:rPr>
                <w:rFonts w:ascii="Times New Roman" w:eastAsia="Times New Roman" w:hAnsi="Times New Roman" w:cs="Times New Roman"/>
                <w:color w:val="0F0F0F"/>
                <w:lang w:eastAsia="it-IT"/>
              </w:rPr>
              <w:t xml:space="preserve"> anni e quelle autonome con almeno 60, purché abbiano almeno 35 anni di contributi ed optino per il meno vantaggioso calcolo “contributivo”. Continua </w:t>
            </w:r>
            <w:proofErr w:type="gramStart"/>
            <w:r w:rsidRPr="00A55E30">
              <w:rPr>
                <w:rFonts w:ascii="Times New Roman" w:eastAsia="Times New Roman" w:hAnsi="Times New Roman" w:cs="Times New Roman"/>
                <w:color w:val="0F0F0F"/>
                <w:lang w:eastAsia="it-IT"/>
              </w:rPr>
              <w:t>ad</w:t>
            </w:r>
            <w:proofErr w:type="gramEnd"/>
            <w:r w:rsidRPr="00A55E30">
              <w:rPr>
                <w:rFonts w:ascii="Times New Roman" w:eastAsia="Times New Roman" w:hAnsi="Times New Roman" w:cs="Times New Roman"/>
                <w:color w:val="0F0F0F"/>
                <w:lang w:eastAsia="it-IT"/>
              </w:rPr>
              <w:t xml:space="preserve"> essere applicata una finestra mobile di 12 mesi per le dipendenti e di 18 mesi per le autonome. </w:t>
            </w:r>
          </w:p>
        </w:tc>
      </w:tr>
      <w:tr w:rsidR="00861712" w:rsidRPr="00A55E30" w14:paraId="142656D0" w14:textId="77777777" w:rsidTr="00DB3D05"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23DC0" w14:textId="77777777" w:rsidR="00861712" w:rsidRPr="00A55E30" w:rsidRDefault="00861712" w:rsidP="009608C1">
            <w:pPr>
              <w:spacing w:after="450" w:line="480" w:lineRule="auto"/>
              <w:ind w:right="991"/>
              <w:jc w:val="both"/>
              <w:rPr>
                <w:rFonts w:ascii="Times New Roman" w:eastAsia="Times New Roman" w:hAnsi="Times New Roman" w:cs="Times New Roman"/>
                <w:b/>
                <w:i/>
                <w:color w:val="0F0F0F"/>
                <w:lang w:eastAsia="it-IT"/>
              </w:rPr>
            </w:pPr>
          </w:p>
          <w:p w14:paraId="1007AE4B" w14:textId="77777777" w:rsidR="00861712" w:rsidRPr="00A55E30" w:rsidRDefault="00861712" w:rsidP="009608C1">
            <w:pPr>
              <w:spacing w:after="450" w:line="480" w:lineRule="auto"/>
              <w:ind w:right="991"/>
              <w:jc w:val="both"/>
              <w:rPr>
                <w:rFonts w:ascii="Times New Roman" w:eastAsia="Times New Roman" w:hAnsi="Times New Roman" w:cs="Times New Roman"/>
                <w:b/>
                <w:i/>
                <w:color w:val="0F0F0F"/>
                <w:lang w:eastAsia="it-IT"/>
              </w:rPr>
            </w:pPr>
            <w:r w:rsidRPr="00A55E30">
              <w:rPr>
                <w:rFonts w:ascii="Times New Roman" w:eastAsia="Times New Roman" w:hAnsi="Times New Roman" w:cs="Times New Roman"/>
                <w:b/>
                <w:i/>
                <w:color w:val="0F0F0F"/>
                <w:lang w:eastAsia="it-IT"/>
              </w:rPr>
              <w:t>Ape sociale</w:t>
            </w:r>
          </w:p>
        </w:tc>
        <w:tc>
          <w:tcPr>
            <w:tcW w:w="6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627ED" w14:textId="77777777" w:rsidR="00861712" w:rsidRPr="00A55E30" w:rsidRDefault="00861712" w:rsidP="009608C1">
            <w:pPr>
              <w:spacing w:after="450" w:line="480" w:lineRule="auto"/>
              <w:ind w:right="991"/>
              <w:jc w:val="both"/>
              <w:rPr>
                <w:rFonts w:ascii="Times New Roman" w:eastAsia="Times New Roman" w:hAnsi="Times New Roman" w:cs="Times New Roman"/>
                <w:color w:val="0F0F0F"/>
                <w:lang w:eastAsia="it-IT"/>
              </w:rPr>
            </w:pPr>
            <w:r w:rsidRPr="00A55E30">
              <w:rPr>
                <w:rFonts w:ascii="Times New Roman" w:eastAsia="Times New Roman" w:hAnsi="Times New Roman" w:cs="Times New Roman"/>
                <w:color w:val="0F0F0F"/>
                <w:lang w:eastAsia="it-IT"/>
              </w:rPr>
              <w:t xml:space="preserve">Prorogata di un anno l’Ape sociale, che scade il 31 dicembre 2019. La </w:t>
            </w:r>
            <w:proofErr w:type="spellStart"/>
            <w:r w:rsidRPr="00A55E30">
              <w:rPr>
                <w:rFonts w:ascii="Times New Roman" w:eastAsia="Times New Roman" w:hAnsi="Times New Roman" w:cs="Times New Roman"/>
                <w:color w:val="0F0F0F"/>
                <w:lang w:eastAsia="it-IT"/>
              </w:rPr>
              <w:t>pre</w:t>
            </w:r>
            <w:proofErr w:type="spellEnd"/>
            <w:r w:rsidRPr="00A55E30">
              <w:rPr>
                <w:rFonts w:ascii="Times New Roman" w:eastAsia="Times New Roman" w:hAnsi="Times New Roman" w:cs="Times New Roman"/>
                <w:color w:val="0F0F0F"/>
                <w:lang w:eastAsia="it-IT"/>
              </w:rPr>
              <w:t xml:space="preserve">-pensione </w:t>
            </w:r>
            <w:proofErr w:type="gramStart"/>
            <w:r w:rsidRPr="00A55E30">
              <w:rPr>
                <w:rFonts w:ascii="Times New Roman" w:eastAsia="Times New Roman" w:hAnsi="Times New Roman" w:cs="Times New Roman"/>
                <w:color w:val="0F0F0F"/>
                <w:lang w:eastAsia="it-IT"/>
              </w:rPr>
              <w:t>assistenziale</w:t>
            </w:r>
            <w:proofErr w:type="gramEnd"/>
            <w:r w:rsidRPr="00A55E30">
              <w:rPr>
                <w:rFonts w:ascii="Times New Roman" w:eastAsia="Times New Roman" w:hAnsi="Times New Roman" w:cs="Times New Roman"/>
                <w:color w:val="0F0F0F"/>
                <w:lang w:eastAsia="it-IT"/>
              </w:rPr>
              <w:t xml:space="preserve"> che si può ottenere a partire dai 63 anni da parte di coloro che si trovano in condizioni di disagio o svolgono attività considerate gravose (15 categorie). Per accedere all’anticipo gratuito occorre avere un minimo di </w:t>
            </w:r>
            <w:proofErr w:type="gramStart"/>
            <w:r w:rsidRPr="00A55E30">
              <w:rPr>
                <w:rFonts w:ascii="Times New Roman" w:eastAsia="Times New Roman" w:hAnsi="Times New Roman" w:cs="Times New Roman"/>
                <w:color w:val="0F0F0F"/>
                <w:lang w:eastAsia="it-IT"/>
              </w:rPr>
              <w:t>30</w:t>
            </w:r>
            <w:proofErr w:type="gramEnd"/>
            <w:r w:rsidRPr="00A55E30">
              <w:rPr>
                <w:rFonts w:ascii="Times New Roman" w:eastAsia="Times New Roman" w:hAnsi="Times New Roman" w:cs="Times New Roman"/>
                <w:color w:val="0F0F0F"/>
                <w:lang w:eastAsia="it-IT"/>
              </w:rPr>
              <w:t xml:space="preserve"> anni di </w:t>
            </w:r>
            <w:r w:rsidRPr="00A55E30">
              <w:rPr>
                <w:rFonts w:ascii="Times New Roman" w:eastAsia="Times New Roman" w:hAnsi="Times New Roman" w:cs="Times New Roman"/>
                <w:color w:val="0F0F0F"/>
                <w:lang w:eastAsia="it-IT"/>
              </w:rPr>
              <w:lastRenderedPageBreak/>
              <w:t xml:space="preserve">contributi che salgono a 36 per chi è impiegato in lavori gravosi. </w:t>
            </w:r>
          </w:p>
        </w:tc>
      </w:tr>
    </w:tbl>
    <w:p w14:paraId="1DDD2761" w14:textId="77777777" w:rsidR="00861712" w:rsidRPr="00A55E30" w:rsidRDefault="00861712" w:rsidP="009608C1">
      <w:pPr>
        <w:spacing w:after="450" w:line="480" w:lineRule="auto"/>
        <w:ind w:right="991"/>
        <w:jc w:val="both"/>
        <w:rPr>
          <w:rFonts w:ascii="Times New Roman" w:eastAsia="Times New Roman" w:hAnsi="Times New Roman" w:cs="Times New Roman"/>
          <w:b/>
          <w:color w:val="0F0F0F"/>
          <w:lang w:eastAsia="it-IT"/>
        </w:rPr>
      </w:pPr>
    </w:p>
    <w:p w14:paraId="588FD8C7" w14:textId="77777777" w:rsidR="00501C8E" w:rsidRPr="00A55E30" w:rsidRDefault="00501C8E" w:rsidP="009608C1">
      <w:pPr>
        <w:spacing w:line="480" w:lineRule="auto"/>
        <w:ind w:right="991"/>
        <w:jc w:val="both"/>
        <w:rPr>
          <w:rFonts w:ascii="Times New Roman" w:hAnsi="Times New Roman" w:cs="Times New Roman"/>
        </w:rPr>
      </w:pPr>
      <w:bookmarkStart w:id="0" w:name="_GoBack"/>
      <w:bookmarkEnd w:id="0"/>
    </w:p>
    <w:sectPr w:rsidR="00501C8E" w:rsidRPr="00A55E3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712"/>
    <w:rsid w:val="001705EF"/>
    <w:rsid w:val="001D1D83"/>
    <w:rsid w:val="00233727"/>
    <w:rsid w:val="002721BD"/>
    <w:rsid w:val="0030301A"/>
    <w:rsid w:val="003F7FBD"/>
    <w:rsid w:val="0049777A"/>
    <w:rsid w:val="00501C8E"/>
    <w:rsid w:val="006F1358"/>
    <w:rsid w:val="007E7CAA"/>
    <w:rsid w:val="007F4DF2"/>
    <w:rsid w:val="0082242B"/>
    <w:rsid w:val="00861712"/>
    <w:rsid w:val="00864068"/>
    <w:rsid w:val="009608C1"/>
    <w:rsid w:val="00A55DAE"/>
    <w:rsid w:val="00A55E30"/>
    <w:rsid w:val="00E46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24F405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61712"/>
    <w:pPr>
      <w:spacing w:after="160" w:line="259" w:lineRule="auto"/>
    </w:p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8617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atterepredefinitoparagrafo"/>
    <w:uiPriority w:val="99"/>
    <w:unhideWhenUsed/>
    <w:rsid w:val="007F4DF2"/>
    <w:rPr>
      <w:color w:val="0000FF" w:themeColor="hyperlink"/>
      <w:u w:val="single"/>
    </w:rPr>
  </w:style>
  <w:style w:type="character" w:styleId="Collegamentovisitato">
    <w:name w:val="FollowedHyperlink"/>
    <w:basedOn w:val="Caratterepredefinitoparagrafo"/>
    <w:uiPriority w:val="99"/>
    <w:semiHidden/>
    <w:unhideWhenUsed/>
    <w:rsid w:val="007F4DF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61712"/>
    <w:pPr>
      <w:spacing w:after="160" w:line="259" w:lineRule="auto"/>
    </w:p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8617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atterepredefinitoparagrafo"/>
    <w:uiPriority w:val="99"/>
    <w:unhideWhenUsed/>
    <w:rsid w:val="007F4DF2"/>
    <w:rPr>
      <w:color w:val="0000FF" w:themeColor="hyperlink"/>
      <w:u w:val="single"/>
    </w:rPr>
  </w:style>
  <w:style w:type="character" w:styleId="Collegamentovisitato">
    <w:name w:val="FollowedHyperlink"/>
    <w:basedOn w:val="Caratterepredefinitoparagrafo"/>
    <w:uiPriority w:val="99"/>
    <w:semiHidden/>
    <w:unhideWhenUsed/>
    <w:rsid w:val="007F4DF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217</Words>
  <Characters>1243</Characters>
  <Application>Microsoft Macintosh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Domenico Comegna</dc:creator>
  <cp:lastModifiedBy>Roberto Bagnoli</cp:lastModifiedBy>
  <cp:revision>17</cp:revision>
  <dcterms:created xsi:type="dcterms:W3CDTF">2019-11-15T08:53:00Z</dcterms:created>
  <dcterms:modified xsi:type="dcterms:W3CDTF">2019-11-15T13:50:00Z</dcterms:modified>
</cp:coreProperties>
</file>